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0748" w:rsidP="00EE5957">
      <w:pPr>
        <w:pStyle w:val="1"/>
        <w:spacing w:before="0" w:after="0"/>
      </w:pPr>
      <w:hyperlink r:id="rId5" w:history="1">
        <w:r>
          <w:rPr>
            <w:rStyle w:val="a4"/>
            <w:b w:val="0"/>
            <w:bCs w:val="0"/>
          </w:rPr>
          <w:t xml:space="preserve">Закон Ханты-Мансийского АО - Югры от 11 июня 2010 г. N 102-оз "Об административных правонарушениях" </w:t>
        </w:r>
      </w:hyperlink>
    </w:p>
    <w:p w:rsidR="00000000" w:rsidRDefault="00300748" w:rsidP="00EE5957">
      <w:pPr>
        <w:pStyle w:val="1"/>
        <w:spacing w:before="0" w:after="0"/>
      </w:pPr>
      <w:hyperlink r:id="rId6" w:history="1">
        <w:r>
          <w:rPr>
            <w:rStyle w:val="a4"/>
            <w:b w:val="0"/>
            <w:bCs w:val="0"/>
          </w:rPr>
          <w:t>Глава II. Административные правонарушения в области общественного порядка и безопасности, обеспечения защиты прав несовершеннолетних и нравственности</w:t>
        </w:r>
      </w:hyperlink>
    </w:p>
    <w:p w:rsidR="00000000" w:rsidRDefault="00300748">
      <w:pPr>
        <w:pStyle w:val="a5"/>
      </w:pPr>
      <w:r>
        <w:rPr>
          <w:rStyle w:val="a3"/>
        </w:rPr>
        <w:t>Статья 10</w:t>
      </w:r>
      <w:r>
        <w:t>. Нарушение тишины и покоя граждан</w:t>
      </w:r>
    </w:p>
    <w:p w:rsidR="00000000" w:rsidRDefault="00300748">
      <w:r>
        <w:t>1. Использова</w:t>
      </w:r>
      <w:r>
        <w:t xml:space="preserve">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</w:t>
      </w:r>
      <w:r>
        <w:t xml:space="preserve">8.00 часов, если такие действия не содержат признаков уголовно наказуемого деяния или административного правонарушения, предусмотренного </w:t>
      </w:r>
      <w:hyperlink r:id="rId7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правонарушениях, -</w:t>
      </w:r>
    </w:p>
    <w:p w:rsidR="00000000" w:rsidRDefault="00300748">
      <w:r>
        <w:t>влекут предупр</w:t>
      </w:r>
      <w:r>
        <w:t>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</w:p>
    <w:p w:rsidR="00000000" w:rsidRDefault="00300748">
      <w:r>
        <w:t>2. Организация и проведение с 21.00 до 8.00 часов в жилой зоне строительных, ремонтных, погруз</w:t>
      </w:r>
      <w:r>
        <w:t>очно-разгрузочных и других работ, нарушающих тишину и покой граждан, -</w:t>
      </w:r>
    </w:p>
    <w:p w:rsidR="00000000" w:rsidRDefault="00300748">
      <w:r>
        <w:t>влечет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</w:t>
      </w:r>
      <w:r>
        <w:t>т пяти тысяч до пятнадцати тысяч рублей.</w:t>
      </w:r>
    </w:p>
    <w:p w:rsidR="00000000" w:rsidRDefault="00300748">
      <w:r>
        <w:t>3. Организация и проведение в рабочие дни (в</w:t>
      </w:r>
      <w:bookmarkStart w:id="0" w:name="_GoBack"/>
      <w:bookmarkEnd w:id="0"/>
      <w:r>
        <w:t xml:space="preserve">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</w:t>
      </w:r>
      <w:r>
        <w:t xml:space="preserve"> сопровождающихся повышенной громкостью и нарушающих тишину и покой граждан, -</w:t>
      </w:r>
    </w:p>
    <w:p w:rsidR="00000000" w:rsidRDefault="00300748">
      <w:r>
        <w:t>влечет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</w:t>
      </w:r>
      <w:r>
        <w:t>лей; на юридических лиц - от пяти тысяч до пятнадцати тысяч рублей.</w:t>
      </w:r>
    </w:p>
    <w:p w:rsidR="00000000" w:rsidRDefault="00300748">
      <w:bookmarkStart w:id="1" w:name="sub_1031"/>
      <w:r>
        <w:t>3.1.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</w:t>
      </w:r>
      <w:r>
        <w:t xml:space="preserve">, за исключением случаев, предусмотренных </w:t>
      </w:r>
      <w:hyperlink w:anchor="sub_101" w:history="1">
        <w:r>
          <w:rPr>
            <w:rStyle w:val="a4"/>
          </w:rPr>
          <w:t>пунктом 1</w:t>
        </w:r>
      </w:hyperlink>
      <w:r>
        <w:t xml:space="preserve"> настоящей статьи, -</w:t>
      </w:r>
    </w:p>
    <w:bookmarkEnd w:id="1"/>
    <w:p w:rsidR="00000000" w:rsidRDefault="00300748">
      <w:r>
        <w:t>влечет предупреждение или наложение административного штрафа на граждан в размере от пятисот до двух тысяч рублей; на должностных лиц - от трех тысяч д</w:t>
      </w:r>
      <w:r>
        <w:t>о десяти тысяч пятисот рублей; на юридических лиц - от пяти тысяч до пятнадцати тысяч рублей.</w:t>
      </w:r>
    </w:p>
    <w:p w:rsidR="00000000" w:rsidRDefault="00300748">
      <w:r>
        <w:t xml:space="preserve">4. Повторное совершение административного правонарушения, предусмотренного </w:t>
      </w:r>
      <w:hyperlink r:id="rId8" w:history="1">
        <w:r>
          <w:rPr>
            <w:rStyle w:val="a4"/>
          </w:rPr>
          <w:t>пунктами 1-3</w:t>
        </w:r>
      </w:hyperlink>
      <w:r>
        <w:t xml:space="preserve">, </w:t>
      </w:r>
      <w:hyperlink r:id="rId9" w:history="1">
        <w:r>
          <w:rPr>
            <w:rStyle w:val="a4"/>
          </w:rPr>
          <w:t>3.1</w:t>
        </w:r>
      </w:hyperlink>
      <w:r>
        <w:t xml:space="preserve"> настоящей </w:t>
      </w:r>
      <w:r w:rsidR="00EE5957">
        <w:t xml:space="preserve">статьи, </w:t>
      </w:r>
      <w:bookmarkStart w:id="2" w:name="sub_1042"/>
      <w:r>
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</w:r>
    </w:p>
    <w:p w:rsidR="00000000" w:rsidRDefault="00300748" w:rsidP="00EE5957">
      <w:pPr>
        <w:spacing w:line="240" w:lineRule="exact"/>
      </w:pPr>
      <w:bookmarkStart w:id="3" w:name="sub_105"/>
      <w:bookmarkEnd w:id="2"/>
      <w:r>
        <w:rPr>
          <w:rStyle w:val="a3"/>
        </w:rPr>
        <w:t>Примечания</w:t>
      </w:r>
      <w:r>
        <w:t>.</w:t>
      </w:r>
      <w:r w:rsidR="00EE5957">
        <w:t xml:space="preserve"> </w:t>
      </w:r>
      <w:bookmarkEnd w:id="3"/>
      <w:r>
        <w:t xml:space="preserve">1. Для целей применения </w:t>
      </w:r>
      <w:hyperlink w:anchor="sub_1031" w:history="1">
        <w:r>
          <w:rPr>
            <w:rStyle w:val="a4"/>
          </w:rPr>
          <w:t>пункта 3.1</w:t>
        </w:r>
      </w:hyperlink>
      <w:r>
        <w:t xml:space="preserve"> настоящей статьи под бытовой электронной техникой понимаются радиоприемники и приемники телевизионные, в том числе телевизоры, проигрыватели, магнитофоны, громкоговорители, м</w:t>
      </w:r>
      <w:r>
        <w:t xml:space="preserve">икрофоны, установки электрических усилителей звука, игровые приставки, а также иные техника и аппаратура, указанные в </w:t>
      </w:r>
      <w:hyperlink r:id="rId10" w:history="1">
        <w:r>
          <w:rPr>
            <w:rStyle w:val="a4"/>
          </w:rPr>
          <w:t>группе 26.40</w:t>
        </w:r>
      </w:hyperlink>
      <w:r>
        <w:t xml:space="preserve"> "Техника бытовая электронная" Общероссийского классификатора продукции по видам экономической деятельности (ОКПД 2) ОК 034-2014 (КПЕС 2008).</w:t>
      </w:r>
    </w:p>
    <w:p w:rsidR="00000000" w:rsidRDefault="00300748" w:rsidP="00EE5957">
      <w:pPr>
        <w:spacing w:line="240" w:lineRule="exact"/>
        <w:ind w:firstLine="709"/>
      </w:pPr>
      <w:bookmarkStart w:id="4" w:name="sub_1052"/>
      <w:r>
        <w:t>2. Не влекут административную ответственность в соответствии с настоящей статьей действия граждан, должнос</w:t>
      </w:r>
      <w:r>
        <w:t>тных лиц и юридических лиц, связанные с:</w:t>
      </w:r>
    </w:p>
    <w:bookmarkEnd w:id="4"/>
    <w:p w:rsidR="00000000" w:rsidRDefault="00300748" w:rsidP="00EE5957">
      <w:pPr>
        <w:spacing w:line="240" w:lineRule="exact"/>
        <w:ind w:firstLine="0"/>
      </w:pPr>
      <w:r>
        <w:t>1) предупреждением, предотвращением, пресечением правонарушений;</w:t>
      </w:r>
    </w:p>
    <w:p w:rsidR="00000000" w:rsidRDefault="00300748" w:rsidP="00EE5957">
      <w:pPr>
        <w:spacing w:line="240" w:lineRule="exact"/>
        <w:ind w:firstLine="0"/>
      </w:pPr>
      <w:r>
        <w:t>2) предотвращением и ликвидацией последствий аварий, стихийных бедствий, иных чрезвычайных ситуаций, выполнением работ, связанных с об</w:t>
      </w:r>
      <w:r>
        <w:t>еспечением санитарно-эпидемиологического благополучия населения, личной и общественной безопасности граждан, функционированием объектов жизнеобеспечения населения, объектов транспортной инфраструктуры;</w:t>
      </w:r>
    </w:p>
    <w:p w:rsidR="00000000" w:rsidRDefault="00300748" w:rsidP="00EE5957">
      <w:pPr>
        <w:spacing w:line="240" w:lineRule="exact"/>
        <w:ind w:firstLine="0"/>
      </w:pPr>
      <w:r>
        <w:t>3) проведением по решению органов государственной влас</w:t>
      </w:r>
      <w:r>
        <w:t>ти и (или) органов местного самоуправления муниципальных образований автономного округа публичных праздничных мероприятий;</w:t>
      </w:r>
    </w:p>
    <w:p w:rsidR="00000000" w:rsidRDefault="00300748" w:rsidP="00EE5957">
      <w:pPr>
        <w:spacing w:line="240" w:lineRule="exact"/>
        <w:ind w:firstLine="0"/>
      </w:pPr>
      <w:r>
        <w:t xml:space="preserve">4) подачей звуковых, в том числе специальных, сигналов в соответствии с </w:t>
      </w:r>
      <w:hyperlink r:id="rId11" w:history="1">
        <w:r>
          <w:rPr>
            <w:rStyle w:val="a4"/>
          </w:rPr>
          <w:t>Правилами дорожного движен</w:t>
        </w:r>
        <w:r>
          <w:rPr>
            <w:rStyle w:val="a4"/>
          </w:rPr>
          <w:t>ия</w:t>
        </w:r>
      </w:hyperlink>
      <w:r>
        <w:t xml:space="preserve"> Российской Федерации;</w:t>
      </w:r>
    </w:p>
    <w:p w:rsidR="00000000" w:rsidRDefault="00300748" w:rsidP="00EE5957">
      <w:pPr>
        <w:spacing w:line="240" w:lineRule="exact"/>
        <w:ind w:firstLine="0"/>
      </w:pPr>
      <w:r>
        <w:t>5) использованием пиротехнических средств в ночь с 31 декабря на 1 января (в новогоднюю ночь);</w:t>
      </w:r>
    </w:p>
    <w:p w:rsidR="00300748" w:rsidRDefault="00300748" w:rsidP="00EE5957">
      <w:pPr>
        <w:spacing w:line="240" w:lineRule="exact"/>
        <w:ind w:firstLine="0"/>
      </w:pPr>
      <w:r>
        <w:t>6) совершением публичных богослужений и других религиозных обрядов и церемоний.</w:t>
      </w:r>
    </w:p>
    <w:sectPr w:rsidR="00300748" w:rsidSect="00EE5957">
      <w:pgSz w:w="11900" w:h="16800"/>
      <w:pgMar w:top="567" w:right="567" w:bottom="510" w:left="5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57"/>
    <w:rsid w:val="00300748"/>
    <w:rsid w:val="00E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DBDE1"/>
  <w14:defaultImageDpi w14:val="0"/>
  <w15:docId w15:val="{921925A6-3E95-43C8-BB53-B0A4B13D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927127.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25267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8828935.200" TargetMode="External"/><Relationship Id="rId11" Type="http://schemas.openxmlformats.org/officeDocument/2006/relationships/hyperlink" Target="garantF1://1205770.1000" TargetMode="External"/><Relationship Id="rId5" Type="http://schemas.openxmlformats.org/officeDocument/2006/relationships/hyperlink" Target="garantF1://18828935.0" TargetMode="External"/><Relationship Id="rId10" Type="http://schemas.openxmlformats.org/officeDocument/2006/relationships/hyperlink" Target="garantF1://70550730.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927127.1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Гаринская Ольга Николаевна</cp:lastModifiedBy>
  <cp:revision>2</cp:revision>
  <dcterms:created xsi:type="dcterms:W3CDTF">2025-05-30T11:00:00Z</dcterms:created>
  <dcterms:modified xsi:type="dcterms:W3CDTF">2025-05-30T11:00:00Z</dcterms:modified>
</cp:coreProperties>
</file>